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8F" w:rsidRPr="00D14A8F" w:rsidRDefault="00D14A8F" w:rsidP="00D14A8F">
      <w:pPr>
        <w:widowControl/>
        <w:spacing w:before="100" w:beforeAutospacing="1" w:after="100" w:afterAutospacing="1"/>
        <w:jc w:val="center"/>
        <w:outlineLvl w:val="1"/>
        <w:rPr>
          <w:rFonts w:ascii="宋体" w:eastAsia="黑体" w:hAnsi="宋体" w:cs="宋体"/>
          <w:b/>
          <w:bCs/>
          <w:kern w:val="0"/>
          <w:sz w:val="30"/>
          <w:szCs w:val="36"/>
        </w:rPr>
      </w:pPr>
      <w:bookmarkStart w:id="0" w:name="_Toc388709485"/>
      <w:bookmarkStart w:id="1" w:name="_Toc388711969"/>
      <w:r w:rsidRPr="00D14A8F">
        <w:rPr>
          <w:rFonts w:ascii="宋体" w:eastAsia="黑体" w:hAnsi="宋体" w:cs="宋体" w:hint="eastAsia"/>
          <w:b/>
          <w:bCs/>
          <w:kern w:val="0"/>
          <w:sz w:val="30"/>
          <w:szCs w:val="36"/>
        </w:rPr>
        <w:t>随州市高级技工学校评价学生方案</w:t>
      </w:r>
      <w:bookmarkEnd w:id="0"/>
      <w:bookmarkEnd w:id="1"/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一、评价宗旨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为实践</w:t>
      </w:r>
      <w:proofErr w:type="gramStart"/>
      <w:r w:rsidRPr="00D14A8F">
        <w:rPr>
          <w:rFonts w:ascii="宋体" w:eastAsia="宋体" w:hAnsi="宋体" w:cs="Times New Roman" w:hint="eastAsia"/>
          <w:sz w:val="24"/>
          <w:szCs w:val="24"/>
        </w:rPr>
        <w:t>“</w:t>
      </w:r>
      <w:proofErr w:type="gramEnd"/>
      <w:r w:rsidRPr="00D14A8F">
        <w:rPr>
          <w:rFonts w:ascii="宋体" w:eastAsia="宋体" w:hAnsi="宋体" w:cs="Times New Roman" w:hint="eastAsia"/>
          <w:sz w:val="24"/>
          <w:szCs w:val="24"/>
        </w:rPr>
        <w:t>多元评价的先进教育理念，为全面提高学生综合素质，培养“人格健全有智慧，全面发展有特长”的德才兼备的现代中职学生，通过对学生发展过程的全面考察予以全面评价，及时发现和肯定学生的闪光之处，及时矫正学生的行为偏差，促进学生的健康成长。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二、评价依据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拟定本方案的依据是新《中学生守则》、《中学生日常行为规范》《随州市高级技工学校学生管理制度》等。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三、评价原则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1</w:t>
      </w:r>
      <w:r w:rsidRPr="00D14A8F">
        <w:rPr>
          <w:rFonts w:ascii="宋体" w:eastAsia="宋体" w:hAnsi="宋体" w:cs="Times New Roman" w:hint="eastAsia"/>
          <w:sz w:val="24"/>
          <w:szCs w:val="24"/>
        </w:rPr>
        <w:t>、方向性原则；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2</w:t>
      </w:r>
      <w:r w:rsidRPr="00D14A8F">
        <w:rPr>
          <w:rFonts w:ascii="宋体" w:eastAsia="宋体" w:hAnsi="宋体" w:cs="Times New Roman" w:hint="eastAsia"/>
          <w:sz w:val="24"/>
          <w:szCs w:val="24"/>
        </w:rPr>
        <w:t>、全面性原则；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3</w:t>
      </w:r>
      <w:r w:rsidRPr="00D14A8F">
        <w:rPr>
          <w:rFonts w:ascii="宋体" w:eastAsia="宋体" w:hAnsi="宋体" w:cs="Times New Roman" w:hint="eastAsia"/>
          <w:sz w:val="24"/>
          <w:szCs w:val="24"/>
        </w:rPr>
        <w:t>、面向全体学生原则；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4</w:t>
      </w:r>
      <w:r w:rsidRPr="00D14A8F">
        <w:rPr>
          <w:rFonts w:ascii="宋体" w:eastAsia="宋体" w:hAnsi="宋体" w:cs="Times New Roman" w:hint="eastAsia"/>
          <w:sz w:val="24"/>
          <w:szCs w:val="24"/>
        </w:rPr>
        <w:t>、贴近学生实际原则；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5</w:t>
      </w:r>
      <w:r w:rsidRPr="00D14A8F">
        <w:rPr>
          <w:rFonts w:ascii="宋体" w:eastAsia="宋体" w:hAnsi="宋体" w:cs="Times New Roman" w:hint="eastAsia"/>
          <w:sz w:val="24"/>
          <w:szCs w:val="24"/>
        </w:rPr>
        <w:t>、可操作性原则。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四、学生各项评比基础要求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（</w:t>
      </w:r>
      <w:r w:rsidRPr="00D14A8F">
        <w:rPr>
          <w:rFonts w:ascii="宋体" w:eastAsia="宋体" w:hAnsi="宋体" w:cs="Times New Roman"/>
          <w:sz w:val="24"/>
          <w:szCs w:val="24"/>
        </w:rPr>
        <w:t>1</w:t>
      </w:r>
      <w:r w:rsidRPr="00D14A8F">
        <w:rPr>
          <w:rFonts w:ascii="宋体" w:eastAsia="宋体" w:hAnsi="宋体" w:cs="Times New Roman" w:hint="eastAsia"/>
          <w:sz w:val="24"/>
          <w:szCs w:val="24"/>
        </w:rPr>
        <w:t>）自觉遵守《中学生守则》、《中学生日常行为规范》《随州市高级技工学校学生管理制度》。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（</w:t>
      </w:r>
      <w:r w:rsidRPr="00D14A8F">
        <w:rPr>
          <w:rFonts w:ascii="宋体" w:eastAsia="宋体" w:hAnsi="宋体" w:cs="Times New Roman"/>
          <w:sz w:val="24"/>
          <w:szCs w:val="24"/>
        </w:rPr>
        <w:t>2</w:t>
      </w:r>
      <w:r w:rsidRPr="00D14A8F">
        <w:rPr>
          <w:rFonts w:ascii="宋体" w:eastAsia="宋体" w:hAnsi="宋体" w:cs="Times New Roman" w:hint="eastAsia"/>
          <w:sz w:val="24"/>
          <w:szCs w:val="24"/>
        </w:rPr>
        <w:t>）有良好的学习生活习惯。各专业总评比例控制在：</w:t>
      </w:r>
      <w:r w:rsidRPr="00D14A8F">
        <w:rPr>
          <w:rFonts w:ascii="宋体" w:eastAsia="宋体" w:hAnsi="宋体" w:cs="Times New Roman"/>
          <w:sz w:val="24"/>
          <w:szCs w:val="24"/>
        </w:rPr>
        <w:t>23%</w:t>
      </w:r>
      <w:r w:rsidRPr="00D14A8F">
        <w:rPr>
          <w:rFonts w:ascii="宋体" w:eastAsia="宋体" w:hAnsi="宋体" w:cs="Times New Roman" w:hint="eastAsia"/>
          <w:sz w:val="24"/>
          <w:szCs w:val="24"/>
        </w:rPr>
        <w:t>为优秀，</w:t>
      </w:r>
      <w:r w:rsidRPr="00D14A8F">
        <w:rPr>
          <w:rFonts w:ascii="宋体" w:eastAsia="宋体" w:hAnsi="宋体" w:cs="Times New Roman"/>
          <w:sz w:val="24"/>
          <w:szCs w:val="24"/>
        </w:rPr>
        <w:t>20%-80%</w:t>
      </w:r>
      <w:r w:rsidRPr="00D14A8F">
        <w:rPr>
          <w:rFonts w:ascii="宋体" w:eastAsia="宋体" w:hAnsi="宋体" w:cs="Times New Roman" w:hint="eastAsia"/>
          <w:sz w:val="24"/>
          <w:szCs w:val="24"/>
        </w:rPr>
        <w:t>为优良，</w:t>
      </w:r>
      <w:r w:rsidRPr="00D14A8F">
        <w:rPr>
          <w:rFonts w:ascii="宋体" w:eastAsia="宋体" w:hAnsi="宋体" w:cs="Times New Roman"/>
          <w:sz w:val="24"/>
          <w:szCs w:val="24"/>
        </w:rPr>
        <w:t>20%</w:t>
      </w:r>
      <w:r w:rsidRPr="00D14A8F">
        <w:rPr>
          <w:rFonts w:ascii="宋体" w:eastAsia="宋体" w:hAnsi="宋体" w:cs="Times New Roman" w:hint="eastAsia"/>
          <w:sz w:val="24"/>
          <w:szCs w:val="24"/>
        </w:rPr>
        <w:t>以后为合格，根据情况确定“不合格”人数。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（</w:t>
      </w:r>
      <w:r w:rsidRPr="00D14A8F">
        <w:rPr>
          <w:rFonts w:ascii="宋体" w:eastAsia="宋体" w:hAnsi="宋体" w:cs="Times New Roman"/>
          <w:sz w:val="24"/>
          <w:szCs w:val="24"/>
        </w:rPr>
        <w:t>3</w:t>
      </w:r>
      <w:r w:rsidRPr="00D14A8F">
        <w:rPr>
          <w:rFonts w:ascii="宋体" w:eastAsia="宋体" w:hAnsi="宋体" w:cs="Times New Roman" w:hint="eastAsia"/>
          <w:sz w:val="24"/>
          <w:szCs w:val="24"/>
        </w:rPr>
        <w:t>）专业技能比赛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（</w:t>
      </w:r>
      <w:r w:rsidRPr="00D14A8F">
        <w:rPr>
          <w:rFonts w:ascii="宋体" w:eastAsia="宋体" w:hAnsi="宋体" w:cs="Times New Roman"/>
          <w:sz w:val="24"/>
          <w:szCs w:val="24"/>
        </w:rPr>
        <w:t>4</w:t>
      </w:r>
      <w:r w:rsidRPr="00D14A8F">
        <w:rPr>
          <w:rFonts w:ascii="宋体" w:eastAsia="宋体" w:hAnsi="宋体" w:cs="Times New Roman" w:hint="eastAsia"/>
          <w:sz w:val="24"/>
          <w:szCs w:val="24"/>
        </w:rPr>
        <w:t>）学习成绩要求：进入各专业年级前</w:t>
      </w:r>
      <w:r w:rsidRPr="00D14A8F">
        <w:rPr>
          <w:rFonts w:ascii="宋体" w:eastAsia="宋体" w:hAnsi="宋体" w:cs="Times New Roman"/>
          <w:sz w:val="24"/>
          <w:szCs w:val="24"/>
        </w:rPr>
        <w:t>20%</w:t>
      </w:r>
      <w:r w:rsidRPr="00D14A8F">
        <w:rPr>
          <w:rFonts w:ascii="宋体" w:eastAsia="宋体" w:hAnsi="宋体" w:cs="Times New Roman" w:hint="eastAsia"/>
          <w:sz w:val="24"/>
          <w:szCs w:val="24"/>
        </w:rPr>
        <w:t>名次为优秀；前</w:t>
      </w:r>
      <w:r w:rsidRPr="00D14A8F">
        <w:rPr>
          <w:rFonts w:ascii="宋体" w:eastAsia="宋体" w:hAnsi="宋体" w:cs="Times New Roman"/>
          <w:sz w:val="24"/>
          <w:szCs w:val="24"/>
        </w:rPr>
        <w:t>21—50%</w:t>
      </w:r>
      <w:r w:rsidRPr="00D14A8F">
        <w:rPr>
          <w:rFonts w:ascii="宋体" w:eastAsia="宋体" w:hAnsi="宋体" w:cs="Times New Roman" w:hint="eastAsia"/>
          <w:sz w:val="24"/>
          <w:szCs w:val="24"/>
        </w:rPr>
        <w:t>名次学生为优良。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（</w:t>
      </w:r>
      <w:r w:rsidRPr="00D14A8F">
        <w:rPr>
          <w:rFonts w:ascii="宋体" w:eastAsia="宋体" w:hAnsi="宋体" w:cs="Times New Roman"/>
          <w:sz w:val="24"/>
          <w:szCs w:val="24"/>
        </w:rPr>
        <w:t>5</w:t>
      </w:r>
      <w:r w:rsidRPr="00D14A8F">
        <w:rPr>
          <w:rFonts w:ascii="宋体" w:eastAsia="宋体" w:hAnsi="宋体" w:cs="Times New Roman" w:hint="eastAsia"/>
          <w:sz w:val="24"/>
          <w:szCs w:val="24"/>
        </w:rPr>
        <w:t>）学习特长：有两项以上特长，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（</w:t>
      </w:r>
      <w:r w:rsidRPr="00D14A8F">
        <w:rPr>
          <w:rFonts w:ascii="宋体" w:eastAsia="宋体" w:hAnsi="宋体" w:cs="Times New Roman"/>
          <w:sz w:val="24"/>
          <w:szCs w:val="24"/>
        </w:rPr>
        <w:t>6</w:t>
      </w:r>
      <w:r w:rsidRPr="00D14A8F">
        <w:rPr>
          <w:rFonts w:ascii="宋体" w:eastAsia="宋体" w:hAnsi="宋体" w:cs="Times New Roman" w:hint="eastAsia"/>
          <w:sz w:val="24"/>
          <w:szCs w:val="24"/>
        </w:rPr>
        <w:t>）操行表现：凡被学校处以警告以上处分仍未撤销的学生，不能参与各项评比、评奖。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五、评奖（评价）的类别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1</w:t>
      </w:r>
      <w:r w:rsidRPr="00D14A8F">
        <w:rPr>
          <w:rFonts w:ascii="宋体" w:eastAsia="宋体" w:hAnsi="宋体" w:cs="Times New Roman" w:hint="eastAsia"/>
          <w:sz w:val="24"/>
          <w:szCs w:val="24"/>
        </w:rPr>
        <w:t>．“三会”优秀个人</w:t>
      </w:r>
      <w:r w:rsidRPr="00D14A8F">
        <w:rPr>
          <w:rFonts w:ascii="宋体" w:eastAsia="宋体" w:hAnsi="宋体" w:cs="Times New Roman"/>
          <w:sz w:val="24"/>
          <w:szCs w:val="24"/>
        </w:rPr>
        <w:t xml:space="preserve"> </w:t>
      </w:r>
      <w:r w:rsidRPr="00D14A8F">
        <w:rPr>
          <w:rFonts w:ascii="宋体" w:eastAsia="宋体" w:hAnsi="宋体" w:cs="Times New Roman" w:hint="eastAsia"/>
          <w:sz w:val="24"/>
          <w:szCs w:val="24"/>
        </w:rPr>
        <w:t>（会学习，会说话，会做事，）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2</w:t>
      </w:r>
      <w:r w:rsidRPr="00D14A8F">
        <w:rPr>
          <w:rFonts w:ascii="宋体" w:eastAsia="宋体" w:hAnsi="宋体" w:cs="Times New Roman" w:hint="eastAsia"/>
          <w:sz w:val="24"/>
          <w:szCs w:val="24"/>
        </w:rPr>
        <w:t>．家庭“阳光之子”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3</w:t>
      </w:r>
      <w:r w:rsidRPr="00D14A8F">
        <w:rPr>
          <w:rFonts w:ascii="宋体" w:eastAsia="宋体" w:hAnsi="宋体" w:cs="Times New Roman" w:hint="eastAsia"/>
          <w:sz w:val="24"/>
          <w:szCs w:val="24"/>
        </w:rPr>
        <w:t>．社会实践之星</w:t>
      </w:r>
      <w:r w:rsidRPr="00D14A8F">
        <w:rPr>
          <w:rFonts w:ascii="宋体" w:eastAsia="宋体" w:hAnsi="Times New Roman" w:cs="Times New Roman"/>
          <w:sz w:val="24"/>
          <w:szCs w:val="24"/>
        </w:rPr>
        <w:t>                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4</w:t>
      </w:r>
      <w:r w:rsidRPr="00D14A8F">
        <w:rPr>
          <w:rFonts w:ascii="宋体" w:eastAsia="宋体" w:hAnsi="宋体" w:cs="Times New Roman" w:hint="eastAsia"/>
          <w:sz w:val="24"/>
          <w:szCs w:val="24"/>
        </w:rPr>
        <w:t>．读书明星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5</w:t>
      </w:r>
      <w:r w:rsidRPr="00D14A8F">
        <w:rPr>
          <w:rFonts w:ascii="宋体" w:eastAsia="宋体" w:hAnsi="宋体" w:cs="Times New Roman" w:hint="eastAsia"/>
          <w:sz w:val="24"/>
          <w:szCs w:val="24"/>
        </w:rPr>
        <w:t>．学习明星奖（综合评定）</w:t>
      </w:r>
      <w:r w:rsidRPr="00D14A8F">
        <w:rPr>
          <w:rFonts w:ascii="宋体" w:eastAsia="宋体" w:hAnsi="Times New Roman" w:cs="Times New Roman"/>
          <w:sz w:val="24"/>
          <w:szCs w:val="24"/>
        </w:rPr>
        <w:t>       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6</w:t>
      </w:r>
      <w:r w:rsidRPr="00D14A8F">
        <w:rPr>
          <w:rFonts w:ascii="宋体" w:eastAsia="宋体" w:hAnsi="宋体" w:cs="Times New Roman" w:hint="eastAsia"/>
          <w:sz w:val="24"/>
          <w:szCs w:val="24"/>
        </w:rPr>
        <w:t>．特别进步奖（专项评定）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lastRenderedPageBreak/>
        <w:t>7</w:t>
      </w:r>
      <w:r w:rsidRPr="00D14A8F">
        <w:rPr>
          <w:rFonts w:ascii="宋体" w:eastAsia="宋体" w:hAnsi="宋体" w:cs="Times New Roman" w:hint="eastAsia"/>
          <w:sz w:val="24"/>
          <w:szCs w:val="24"/>
        </w:rPr>
        <w:t>．学科之星奖（专项评定）</w:t>
      </w:r>
      <w:r w:rsidRPr="00D14A8F">
        <w:rPr>
          <w:rFonts w:ascii="宋体" w:eastAsia="宋体" w:hAnsi="Times New Roman" w:cs="Times New Roman"/>
          <w:sz w:val="24"/>
          <w:szCs w:val="24"/>
        </w:rPr>
        <w:t>       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8</w:t>
      </w:r>
      <w:r w:rsidRPr="00D14A8F">
        <w:rPr>
          <w:rFonts w:ascii="宋体" w:eastAsia="宋体" w:hAnsi="宋体" w:cs="Times New Roman" w:hint="eastAsia"/>
          <w:sz w:val="24"/>
          <w:szCs w:val="24"/>
        </w:rPr>
        <w:t>．年级优秀特长生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9</w:t>
      </w:r>
      <w:r w:rsidRPr="00D14A8F">
        <w:rPr>
          <w:rFonts w:ascii="宋体" w:eastAsia="宋体" w:hAnsi="宋体" w:cs="Times New Roman" w:hint="eastAsia"/>
          <w:sz w:val="24"/>
          <w:szCs w:val="24"/>
        </w:rPr>
        <w:t>．在各类管理中领导能力表现突出的学生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/>
          <w:sz w:val="24"/>
          <w:szCs w:val="24"/>
        </w:rPr>
        <w:t>10</w:t>
      </w:r>
      <w:r w:rsidRPr="00D14A8F">
        <w:rPr>
          <w:rFonts w:ascii="宋体" w:eastAsia="宋体" w:hAnsi="宋体" w:cs="Times New Roman" w:hint="eastAsia"/>
          <w:sz w:val="24"/>
          <w:szCs w:val="24"/>
        </w:rPr>
        <w:t>．成才奖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D14A8F">
        <w:rPr>
          <w:rFonts w:ascii="宋体" w:eastAsia="宋体" w:hAnsi="宋体" w:cs="Times New Roman" w:hint="eastAsia"/>
          <w:sz w:val="24"/>
          <w:szCs w:val="24"/>
        </w:rPr>
        <w:t>六、各类评比具体实施细则，由政教处组织学生讨论形成方案，报经校长批准后实施。</w:t>
      </w: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</w:p>
    <w:p w:rsidR="00D14A8F" w:rsidRPr="00D14A8F" w:rsidRDefault="00D14A8F" w:rsidP="00D14A8F">
      <w:pPr>
        <w:spacing w:line="400" w:lineRule="exact"/>
        <w:ind w:firstLineChars="200" w:firstLine="480"/>
        <w:rPr>
          <w:rFonts w:ascii="宋体" w:eastAsia="宋体" w:hAnsi="Times New Roman" w:cs="Times New Roman"/>
          <w:sz w:val="24"/>
          <w:szCs w:val="24"/>
        </w:rPr>
      </w:pPr>
    </w:p>
    <w:p w:rsidR="00D14A8F" w:rsidRPr="00D14A8F" w:rsidRDefault="00D14A8F" w:rsidP="00D14A8F">
      <w:pPr>
        <w:widowControl/>
        <w:spacing w:before="100" w:beforeAutospacing="1" w:after="100" w:afterAutospacing="1"/>
        <w:jc w:val="center"/>
        <w:outlineLvl w:val="1"/>
        <w:rPr>
          <w:rFonts w:ascii="宋体" w:eastAsia="黑体" w:hAnsi="宋体" w:cs="宋体"/>
          <w:b/>
          <w:bCs/>
          <w:kern w:val="0"/>
          <w:sz w:val="30"/>
          <w:szCs w:val="36"/>
        </w:rPr>
      </w:pPr>
    </w:p>
    <w:p w:rsidR="008751FB" w:rsidRPr="00D14A8F" w:rsidRDefault="008751FB">
      <w:bookmarkStart w:id="2" w:name="_GoBack"/>
      <w:bookmarkEnd w:id="2"/>
    </w:p>
    <w:sectPr w:rsidR="008751FB" w:rsidRPr="00D1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8F"/>
    <w:rsid w:val="008751FB"/>
    <w:rsid w:val="00D1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wanglei</dc:creator>
  <cp:lastModifiedBy>wanglei</cp:lastModifiedBy>
  <cp:revision>1</cp:revision>
  <dcterms:created xsi:type="dcterms:W3CDTF">2014-06-09T03:08:00Z</dcterms:created>
  <dcterms:modified xsi:type="dcterms:W3CDTF">2014-06-09T03:08:00Z</dcterms:modified>
</cp:coreProperties>
</file>